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B7" w:rsidRDefault="003428B7" w:rsidP="003428B7">
      <w:pPr>
        <w:pStyle w:val="a3"/>
        <w:shd w:val="clear" w:color="auto" w:fill="F8F9FA"/>
        <w:spacing w:before="240" w:beforeAutospacing="0"/>
        <w:rPr>
          <w:b/>
          <w:bCs/>
          <w:color w:val="000000"/>
        </w:rPr>
      </w:pPr>
      <w:r>
        <w:rPr>
          <w:b/>
          <w:bCs/>
          <w:color w:val="000000"/>
        </w:rPr>
        <w:t>Группа 41в</w:t>
      </w:r>
    </w:p>
    <w:p w:rsidR="003428B7" w:rsidRDefault="003428B7" w:rsidP="003428B7">
      <w:pPr>
        <w:pStyle w:val="a3"/>
        <w:shd w:val="clear" w:color="auto" w:fill="F8F9FA"/>
        <w:spacing w:before="240" w:beforeAutospacing="0"/>
        <w:rPr>
          <w:b/>
          <w:bCs/>
          <w:color w:val="000000"/>
        </w:rPr>
      </w:pPr>
      <w:r>
        <w:rPr>
          <w:b/>
          <w:bCs/>
          <w:color w:val="000000"/>
        </w:rPr>
        <w:t>Дата 27.10.2021</w:t>
      </w:r>
    </w:p>
    <w:p w:rsidR="003428B7" w:rsidRDefault="003428B7" w:rsidP="003428B7">
      <w:pPr>
        <w:pStyle w:val="a3"/>
        <w:shd w:val="clear" w:color="auto" w:fill="F8F9FA"/>
        <w:spacing w:before="240" w:beforeAutospacing="0"/>
        <w:rPr>
          <w:b/>
          <w:bCs/>
          <w:color w:val="000000"/>
        </w:rPr>
      </w:pPr>
      <w:r>
        <w:rPr>
          <w:b/>
          <w:bCs/>
          <w:color w:val="000000"/>
        </w:rPr>
        <w:t>Дисциплина Методики проведения профилактических и ветеринарно-санитарных мероприятий</w:t>
      </w:r>
    </w:p>
    <w:p w:rsidR="003428B7" w:rsidRDefault="003428B7" w:rsidP="003428B7">
      <w:pPr>
        <w:pStyle w:val="a3"/>
        <w:shd w:val="clear" w:color="auto" w:fill="F8F9FA"/>
        <w:spacing w:before="240" w:before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Преподаватель Сидорова Н.И. </w:t>
      </w:r>
    </w:p>
    <w:p w:rsidR="003428B7" w:rsidRPr="00886A5F" w:rsidRDefault="003428B7" w:rsidP="003428B7">
      <w:pPr>
        <w:pStyle w:val="a3"/>
        <w:shd w:val="clear" w:color="auto" w:fill="F8F9FA"/>
        <w:spacing w:before="240" w:before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Почта </w:t>
      </w:r>
      <w:hyperlink r:id="rId5" w:history="1">
        <w:r w:rsidRPr="00F75BC5">
          <w:rPr>
            <w:rStyle w:val="a4"/>
            <w:b/>
            <w:bCs/>
            <w:lang w:val="en-US"/>
          </w:rPr>
          <w:t>SidorovaN</w:t>
        </w:r>
        <w:r w:rsidRPr="00F75BC5">
          <w:rPr>
            <w:rStyle w:val="a4"/>
            <w:b/>
            <w:bCs/>
          </w:rPr>
          <w:t>1954@</w:t>
        </w:r>
        <w:r w:rsidRPr="00F75BC5">
          <w:rPr>
            <w:rStyle w:val="a4"/>
            <w:b/>
            <w:bCs/>
            <w:lang w:val="en-US"/>
          </w:rPr>
          <w:t>yandex</w:t>
        </w:r>
        <w:r w:rsidRPr="00F75BC5">
          <w:rPr>
            <w:rStyle w:val="a4"/>
            <w:b/>
            <w:bCs/>
          </w:rPr>
          <w:t>.</w:t>
        </w:r>
        <w:r w:rsidRPr="00F75BC5">
          <w:rPr>
            <w:rStyle w:val="a4"/>
            <w:b/>
            <w:bCs/>
            <w:lang w:val="en-US"/>
          </w:rPr>
          <w:t>ru</w:t>
        </w:r>
      </w:hyperlink>
      <w:r w:rsidRPr="00886A5F">
        <w:rPr>
          <w:b/>
          <w:bCs/>
          <w:color w:val="000000"/>
        </w:rPr>
        <w:t xml:space="preserve">  </w:t>
      </w:r>
    </w:p>
    <w:p w:rsidR="003428B7" w:rsidRDefault="003428B7" w:rsidP="003428B7">
      <w:pPr>
        <w:pStyle w:val="a3"/>
        <w:shd w:val="clear" w:color="auto" w:fill="F8F9FA"/>
        <w:spacing w:before="240" w:beforeAutospacing="0"/>
        <w:rPr>
          <w:b/>
          <w:bCs/>
          <w:color w:val="000000"/>
        </w:rPr>
      </w:pPr>
      <w:r>
        <w:rPr>
          <w:b/>
          <w:bCs/>
          <w:color w:val="000000"/>
        </w:rPr>
        <w:t>Телефон 89277808644</w:t>
      </w:r>
    </w:p>
    <w:p w:rsidR="003428B7" w:rsidRPr="00D92023" w:rsidRDefault="003428B7" w:rsidP="003428B7">
      <w:pPr>
        <w:shd w:val="clear" w:color="auto" w:fill="FFFFFF"/>
        <w:spacing w:before="240" w:after="274" w:line="343" w:lineRule="atLeast"/>
        <w:ind w:left="658"/>
        <w:textAlignment w:val="baseline"/>
        <w:outlineLvl w:val="1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t>Тема</w:t>
      </w:r>
      <w:r>
        <w:t>.</w:t>
      </w:r>
      <w:r>
        <w:rPr>
          <w:b/>
          <w:bCs/>
          <w:color w:val="000000"/>
        </w:rPr>
        <w:t xml:space="preserve"> </w:t>
      </w:r>
      <w:r w:rsidRPr="00D92023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ВЕТЕРИНАРНО-САНИТАРНЫЙ ОСМОТР ПРОДУКТОВ УБОЯ ЖИВОТНЫХ</w:t>
      </w:r>
    </w:p>
    <w:p w:rsidR="003428B7" w:rsidRPr="003428B7" w:rsidRDefault="003428B7" w:rsidP="003428B7">
      <w:pPr>
        <w:shd w:val="clear" w:color="auto" w:fill="FFFFFF"/>
        <w:spacing w:before="411" w:after="274" w:line="343" w:lineRule="atLeast"/>
        <w:textAlignment w:val="baseline"/>
        <w:outlineLvl w:val="1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1.</w:t>
      </w:r>
      <w:r w:rsidRPr="003428B7">
        <w:rPr>
          <w:rFonts w:eastAsia="Times New Roman" w:cs="Times New Roman"/>
          <w:b/>
          <w:color w:val="000000"/>
          <w:sz w:val="20"/>
          <w:szCs w:val="20"/>
          <w:lang w:eastAsia="ru-RU"/>
        </w:rPr>
        <w:t>ВЕТЕРИНАРНО-САНИТАРНЫЙ ОСМОТР ПРОДУКТОВ УБОЯ ЖИВОТНЫХ</w:t>
      </w:r>
      <w:bookmarkStart w:id="0" w:name="h454"/>
      <w:bookmarkEnd w:id="0"/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, </w:t>
      </w:r>
      <w:r w:rsidRPr="003428B7">
        <w:rPr>
          <w:rFonts w:eastAsia="Times New Roman" w:cs="Times New Roman"/>
          <w:b/>
          <w:color w:val="000000"/>
          <w:sz w:val="20"/>
          <w:szCs w:val="20"/>
          <w:lang w:eastAsia="ru-RU"/>
        </w:rPr>
        <w:t>ВЕТЕРИНАРНЫЕ МЕТОДИЧЕСКИЕ УКАЗАНИЯ (ВМУ)</w:t>
      </w:r>
    </w:p>
    <w:p w:rsidR="003428B7" w:rsidRPr="003428B7" w:rsidRDefault="003428B7" w:rsidP="003428B7">
      <w:pPr>
        <w:shd w:val="clear" w:color="auto" w:fill="FFFFFF"/>
        <w:spacing w:after="274" w:line="343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3428B7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2.</w:t>
      </w:r>
      <w:r w:rsidRPr="00D9202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ОБЩИЕ ПОЛОЖЕНИЯ И ОБЛАСТЬ ПРИМЕНЕНИЯ</w:t>
      </w:r>
    </w:p>
    <w:p w:rsidR="003428B7" w:rsidRDefault="003428B7" w:rsidP="003428B7">
      <w:pPr>
        <w:shd w:val="clear" w:color="auto" w:fill="FFFFFF"/>
        <w:spacing w:after="274" w:line="343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3428B7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3.</w:t>
      </w:r>
      <w:r w:rsidRPr="00D9202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ОРГАНИЗАЦИЯ РАБОЧИХ МЕСТ ПРИ ПРОВЕДЕНИИ ВЕТЕРИНАРНО-САНИТАРНОЙ ЭКСПЕРТИЗЫ ПРОДУКТОВ УБОЯ ЖИВОТНЫХ</w:t>
      </w:r>
    </w:p>
    <w:p w:rsidR="003428B7" w:rsidRPr="00D92023" w:rsidRDefault="003428B7" w:rsidP="003428B7">
      <w:pPr>
        <w:shd w:val="clear" w:color="auto" w:fill="FFFFFF"/>
        <w:spacing w:after="274" w:line="343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3428B7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4.</w:t>
      </w:r>
      <w:r w:rsidRPr="00D9202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ПОРЯДОК ВЕТЕРИНАРНО-САНИТАРНОГО ОСМОТРА ПРОДУКТОВ УБОЯ КРУПНОГО РОГАТОГО СКОТА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Настоящие ВМУ обязательны для руководства и исполнения специалистами при проведении ветеринарно-санитарной экспертизы продуктов убоя животных.</w:t>
      </w:r>
      <w:bookmarkStart w:id="1" w:name="l2"/>
      <w:bookmarkEnd w:id="1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них охвачены вопросы организации, порядка ветеринарно-санитарного осмотра туш и органов животных в зависимости от технической оснащенности, условий переработки скота и птицы, особенности осмотра продуктов убоя на продовольственных рынках, диких животных и пернатой дичи, изложена краткая характеристика основных поражений, выявляемых при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ветсанэкспертизе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различных продуктах убоя животных и птицы (туши, субпродукты, шкуры и др.).</w:t>
      </w:r>
      <w:bookmarkStart w:id="2" w:name="l3"/>
      <w:bookmarkEnd w:id="2"/>
      <w:proofErr w:type="gramEnd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разработке ВМУ использованы действующие нормативные документы с учетом пересматриваемых новых Правил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ветсанэкспертизы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, результаты исследований отечественных и зарубежных авторов, ранее изданные рекомендации и иллюстрационные материалы.</w:t>
      </w:r>
      <w:bookmarkStart w:id="3" w:name="l4"/>
      <w:bookmarkEnd w:id="3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ВМУ разработаны заслуженным деятелем науки РФ, доктором ветеринарных наук, профессором, лауреатом премии Правительства РФ Костенко Ю.Г.</w:t>
      </w:r>
      <w:bookmarkStart w:id="4" w:name="l5"/>
      <w:bookmarkEnd w:id="4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Редакция ВМУ осуществлена начальником отдела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ветсанэкспертизы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безопасности </w:t>
      </w:r>
      <w:proofErr w:type="gram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продуктов животноводства Департамента ветеринарии Минсельхозпрода России</w:t>
      </w:r>
      <w:proofErr w:type="gram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Герасимовым А.С.</w:t>
      </w:r>
      <w:bookmarkStart w:id="5" w:name="l6"/>
      <w:bookmarkEnd w:id="5"/>
    </w:p>
    <w:p w:rsidR="003428B7" w:rsidRPr="00D92023" w:rsidRDefault="003428B7" w:rsidP="003428B7">
      <w:pPr>
        <w:shd w:val="clear" w:color="auto" w:fill="FFFFFF"/>
        <w:spacing w:before="634" w:after="365" w:line="336" w:lineRule="atLeast"/>
        <w:ind w:left="922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h455"/>
      <w:bookmarkEnd w:id="6"/>
      <w:r w:rsidRPr="00D9202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 И ОБЛАСТЬ ПРИМЕНЕНИЯ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Настоящие ветеринарные методические указания (далее - ВМУ) разработаны на основании Закона Российской Федерации "О ветеринарии", "Положения о государственном ветеринарном надзоре в Российской Федерации", "Правил ветеринарного осмотра убойных животных и ветеринарно-санитарной экспертизы мяса и мясных продуктов", "Инструкции по ветеринарному клеймению мяса", "Положения о подразделении государственного ветеринарного надзора на предприятиях по переработке и хранению продуктов животноводства".</w:t>
      </w:r>
      <w:bookmarkStart w:id="7" w:name="l7"/>
      <w:bookmarkStart w:id="8" w:name="l8"/>
      <w:bookmarkEnd w:id="7"/>
      <w:bookmarkEnd w:id="8"/>
      <w:proofErr w:type="gramEnd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Требования настоящих ВМУ применяются при проведении ветеринарно-санитарной экспертизы мяса и других продуктов убоя животных (птицы).</w:t>
      </w:r>
    </w:p>
    <w:p w:rsidR="003428B7" w:rsidRPr="003428B7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Настоящие ВМУ предназначены для организаций Государственной ветеринарной службы и обязательны для выполнения ветеринарными врачами, осуществляющими ветеринарно-санитарную экспертизу мяса и других продуктов убоя</w:t>
      </w:r>
      <w:bookmarkStart w:id="9" w:name="l9"/>
      <w:bookmarkStart w:id="10" w:name="h456"/>
      <w:bookmarkEnd w:id="9"/>
      <w:bookmarkEnd w:id="10"/>
      <w:proofErr w:type="gramEnd"/>
    </w:p>
    <w:p w:rsidR="003428B7" w:rsidRPr="00D92023" w:rsidRDefault="003428B7" w:rsidP="003428B7">
      <w:pPr>
        <w:shd w:val="clear" w:color="auto" w:fill="FFFFFF"/>
        <w:spacing w:before="634" w:after="365" w:line="336" w:lineRule="atLeast"/>
        <w:ind w:left="922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ОРГАНИЗАЦИЯ РАБОЧИХ МЕСТ ПРИ ПРОВЕДЕНИИ ВЕТЕРИНАРНО-САНИТАРНОЙ ЭКСПЕРТИЗЫ ПРОДУКТОВ УБОЯ ЖИВОТНЫХ</w:t>
      </w:r>
      <w:bookmarkStart w:id="11" w:name="l10"/>
      <w:bookmarkEnd w:id="11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Ветеринарно-санитарный осмотр продуктов убоя животных проводят обычно визуально с использованием макроскопических методов патологоанатомических исследований.</w:t>
      </w:r>
      <w:bookmarkStart w:id="12" w:name="l11"/>
      <w:bookmarkEnd w:id="12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Рабочие места (точки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ветсанэкспертизы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) ветврачей оборудуют согласно ветеринарно-санитарным требованиям, основные положения которых приведены ниже.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каждой точке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ветсанэкспертизы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подводят горячую и холодную воду со смесителем для мытья рук и инструментов, оснащают устройством (стерилизатором) для обеззараживания инструментов, емкостями с моющими средствами и дезинфицирующими веществами для обеззараживания рук персонала, емкостями для накопления ветеринарных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конфискатов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, а также устройствами для регистрации выявленных случаев болезней.</w:t>
      </w:r>
      <w:bookmarkStart w:id="13" w:name="l12"/>
      <w:bookmarkStart w:id="14" w:name="l13"/>
      <w:bookmarkEnd w:id="13"/>
      <w:bookmarkEnd w:id="14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Кроме общего освещения, рабочие места (точки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ветсанэкспертизы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) дополнительно оборудуют и местным освещением. При этом для наилучшего восприятия различных цветовых оттенков следует применять люминесцентные лампы типа ЛДЦ и ЛД. Нормативы местного освещения при использовании газоразрядных ламп составляют 1000 лк, ламп накаливания - 750 лк. Искусственные и естественные источники света должны быть направлены на осматриваемые объекты, не создавая теней и не утомляя зрение специалиста.</w:t>
      </w:r>
      <w:bookmarkStart w:id="15" w:name="l14"/>
      <w:bookmarkStart w:id="16" w:name="l15"/>
      <w:bookmarkEnd w:id="15"/>
      <w:bookmarkEnd w:id="16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Каждого ветеринарного врача -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ветсанэксперта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подразделения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госветнадзора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обеспечивают санитарной (халатом или брюками с рубашкой, или комбинезоном; головным убором - пилоткой, беретом, сеткой для волос, а при необходимости защитной каской) зеленого или белого цвета с эмблемой "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госветнадзор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" и специальной (водонепроницаемыми фартуком и сапогами) одеждой; инструментами (двумя ножами,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мусатом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специальной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двухрожковой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вилкой); индивидуальными средствами гигиены.</w:t>
      </w:r>
      <w:bookmarkStart w:id="17" w:name="l16"/>
      <w:bookmarkStart w:id="18" w:name="l17"/>
      <w:bookmarkEnd w:id="17"/>
      <w:bookmarkEnd w:id="18"/>
      <w:proofErr w:type="gramEnd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 переработке животных, больных или подозрительных по заболеванию опасными для человека болезнями (бруцеллез, туберкулез, лептоспироз и др.), дополнительно выделяют и другие средства личной профилактики (перчатки, маски, очки и т.д.).</w:t>
      </w:r>
      <w:bookmarkStart w:id="19" w:name="l18"/>
      <w:bookmarkEnd w:id="19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Рабочие места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ветсанэкспертов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проведения ветеринарно-санитарного осмотра продуктов убоя животных, в том числе на предприятиях с конвейерной системой разделки туш, должны быть достаточными по площади, не стеснять действия ветврача -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ветсанэксперта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 выполнении проводимых операций.</w:t>
      </w:r>
      <w:bookmarkStart w:id="20" w:name="l19"/>
      <w:bookmarkEnd w:id="20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конвейере переработки крупного рогатого скота оборудуют четыре рабочих места: осмотр голов, внутренних органов, туш и финального контроля; при переработке свиней - пять: осмотр подчелюстных (нижнечелюстных)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лимфоузлов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сибирскую язву, голов, внутренних органов, туш, финального контроля.</w:t>
      </w:r>
      <w:proofErr w:type="gram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 переработке свиней без съемки шкуры или со снятием крупона допускается совмещенный осмотр подчелюстных лимфатических узлов на сибирскую язву с осмотром других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лимфоузлов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мышц головы.</w:t>
      </w:r>
      <w:bookmarkStart w:id="21" w:name="l20"/>
      <w:bookmarkStart w:id="22" w:name="l21"/>
      <w:bookmarkEnd w:id="21"/>
      <w:bookmarkEnd w:id="22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На подвесных путях финальной точки осмотра должно размещаться не менее 1% туш, перерабатываемых в смену.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Все продукты убоя до завершения ветеринарно-санитарного осмотра туш (кроме желудочно-кишечного тракта, шкур всех видов животных, ног и ушей крупного рогатого скота) не должны удаляться из цеха переработки животных.</w:t>
      </w:r>
      <w:bookmarkStart w:id="23" w:name="l22"/>
      <w:bookmarkEnd w:id="23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Подготовку продуктов убоя к ветеринарно-санитарному осмотру (отделение головы от туш и ее навешивание, подрезание и извлечение языка из ротовой полости, отделение органов друг от друга, нумерацию туш и органов и другие технические операции), а также подготовку продуктов убоя птицы, выполняет квалифицированный рабочий.</w:t>
      </w:r>
      <w:bookmarkStart w:id="24" w:name="l23"/>
      <w:bookmarkEnd w:id="24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конвейерной (до 4000 голов в час) системе переработки птицы оборудуют две точки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ветсанэкспертизы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осмотра продуктов убоя, а более 4000 голов в час - три. В первом случае первая точка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ветсанэкспертизы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предназначена для осмотра внутренних органов, а вторая - финальная, которую располагают перед участком клеймения тушек. Во втором случае первая точка - для осмотра внутренних органов, вторая - для осмотра разделенных внутренних органов, третья - финальная.</w:t>
      </w:r>
      <w:bookmarkStart w:id="25" w:name="l24"/>
      <w:bookmarkStart w:id="26" w:name="l25"/>
      <w:bookmarkEnd w:id="25"/>
      <w:bookmarkEnd w:id="26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Каждую из них оснащают так же, как указано выше в настоящем разделе. Точку по осмотру внутренних органов дополнительно оборудуют столом, винтовым стулом,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вешалами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подвесками для временного размещения тушек на 10 - 15 голов.</w:t>
      </w:r>
      <w:bookmarkStart w:id="27" w:name="l26"/>
      <w:bookmarkEnd w:id="27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конвейерной переработке кроликов и нутрий оборудуют две точки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ветсанэкспертизы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осмотр внутренних органов и </w:t>
      </w:r>
      <w:proofErr w:type="gram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финальная</w:t>
      </w:r>
      <w:proofErr w:type="gram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bookmarkStart w:id="28" w:name="l27"/>
      <w:bookmarkEnd w:id="28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На предприятиях с конвейерной системой переработки животных каждое место ветеринарно-санитарного осмотра оснащают выключателем для остановки конвейера.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Запрещается переработка животных и птицы на конвейерных линиях с необорудованными точками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ветсанэкспертизы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 также с неукомплектованным штатом подразделений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госветнадзора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специалистами -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ветсанэкспертами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bookmarkStart w:id="29" w:name="l28"/>
      <w:bookmarkEnd w:id="29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Ответственность за оборудование и оснащение рабочих мест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ветсанэкспертов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госветслужбы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несет администрация (владелец) предприятия.</w:t>
      </w:r>
      <w:bookmarkStart w:id="30" w:name="l29"/>
      <w:bookmarkEnd w:id="30"/>
    </w:p>
    <w:p w:rsidR="003428B7" w:rsidRPr="00D92023" w:rsidRDefault="003428B7" w:rsidP="003428B7">
      <w:pPr>
        <w:shd w:val="clear" w:color="auto" w:fill="FFFFFF"/>
        <w:spacing w:before="634" w:after="365" w:line="336" w:lineRule="atLeast"/>
        <w:ind w:left="922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31" w:name="h457"/>
      <w:bookmarkEnd w:id="31"/>
      <w:r w:rsidRPr="00D9202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ПОРЯДОК ВЕТЕРИНАРНО-САНИТАРНОГО ОСМОТРА ПРОДУКТОВ УБОЯ КРУПНОГО РОГАТОГО СКОТА</w:t>
      </w:r>
    </w:p>
    <w:p w:rsidR="003428B7" w:rsidRPr="00D92023" w:rsidRDefault="003428B7" w:rsidP="003428B7">
      <w:pPr>
        <w:shd w:val="clear" w:color="auto" w:fill="FFFFFF"/>
        <w:spacing w:after="365" w:line="336" w:lineRule="atLeast"/>
        <w:ind w:left="922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32" w:name="h458"/>
      <w:bookmarkEnd w:id="32"/>
      <w:r w:rsidRPr="00D9202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3.1. Ветеринарно-санитарный осмотр головы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8B7">
        <w:rPr>
          <w:rFonts w:eastAsia="Times New Roman" w:cs="Times New Roman"/>
          <w:color w:val="808080"/>
          <w:sz w:val="24"/>
          <w:szCs w:val="24"/>
          <w:lang w:eastAsia="ru-RU"/>
        </w:rPr>
        <w:t>3.1.1.</w:t>
      </w: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Подготовка головы к осмотру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Подготовка головы к осмотру заключается:</w:t>
      </w:r>
      <w:bookmarkStart w:id="33" w:name="l30"/>
      <w:bookmarkEnd w:id="33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- в съемке шкуры с головы (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забеловка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отделении</w:t>
      </w:r>
      <w:proofErr w:type="gram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головы от туши в месте ее соединения с первым шейным позвонком (атлантом);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- подачи головы на осмотр с навешиванием на крюк (движущегося конвейера или неподвижный) или размещением на столе;</w:t>
      </w:r>
      <w:bookmarkStart w:id="34" w:name="l31"/>
      <w:bookmarkEnd w:id="34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подрезании</w:t>
      </w:r>
      <w:proofErr w:type="gram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извлечении из ротовой полости языка с глоткой и гортанью (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калтыком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- нумерации головы (наложение номера на лобную кость);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подвешивании</w:t>
      </w:r>
      <w:proofErr w:type="gram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головы на крюк (конвейерной линии или неподвижно закрепленный) за угол сращения ветвей нижней челюсти или за перстневидный хрящ гортани и первые кольца трахеи, или размещение на столе.</w:t>
      </w:r>
      <w:bookmarkStart w:id="35" w:name="l32"/>
      <w:bookmarkEnd w:id="35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Порядок подготовки головы к осмотру и описание тканей отражены на рис. 1 ("а", "б", "в", "г" - не приводятся).</w:t>
      </w:r>
      <w:bookmarkStart w:id="36" w:name="l33"/>
      <w:bookmarkEnd w:id="36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8B7">
        <w:rPr>
          <w:rFonts w:eastAsia="Times New Roman" w:cs="Times New Roman"/>
          <w:color w:val="808080"/>
          <w:sz w:val="24"/>
          <w:szCs w:val="24"/>
          <w:lang w:eastAsia="ru-RU"/>
        </w:rPr>
        <w:t>3.1.2.</w:t>
      </w: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Ветеринарно-санитарный осмотр головы в подвешенном состоянии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8B7">
        <w:rPr>
          <w:rFonts w:eastAsia="Times New Roman" w:cs="Times New Roman"/>
          <w:color w:val="808080"/>
          <w:sz w:val="24"/>
          <w:szCs w:val="24"/>
          <w:lang w:eastAsia="ru-RU"/>
        </w:rPr>
        <w:t>3.1.2.1.</w:t>
      </w: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Подвешивание головы за угол сращения ветвей нижней челюсти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Подвешенная на крюк голова имеет хорошую устойчивость при выполнении различных операций, связанных с ее осмотром. При этом создается хороший доступ для контроля ротовой полости, языка, жевательных мышц, миндалин, глотки, подчелюстных (нижнечелюстных) и медиальных заглоточных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лимфоузлов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(рис. 2, 3 - не приводятся).</w:t>
      </w:r>
      <w:bookmarkStart w:id="37" w:name="l34"/>
      <w:bookmarkStart w:id="38" w:name="l35"/>
      <w:bookmarkEnd w:id="37"/>
      <w:bookmarkEnd w:id="38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Ветеринарно-санитарный осмотр головы начинают с правой или левой ее половины. Голову фиксируют вилкой за остаток плечеголовного мускула, разрезают подчелюстной лимфатический узел и одноименную слюнную железу. Затем двумя широкими параллельными разрезами вскрывают и осматривают </w:t>
      </w:r>
      <w:proofErr w:type="gram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поверхностный</w:t>
      </w:r>
      <w:proofErr w:type="gram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глубокий слои (наружная и глубокая головки) наружного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массетера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bookmarkStart w:id="39" w:name="l36"/>
      <w:bookmarkEnd w:id="39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Околоушной лимфатический узел, расположенный ниже челюстного сустава, и околоушную слюнную железу вскрывают и осматривают, продолжая до основания ушной раковины разрез глубокой головки наружного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массетера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bookmarkStart w:id="40" w:name="l37"/>
      <w:bookmarkEnd w:id="40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Крыловой мускул (внутренний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массетер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) осматривают, выполняя один разрез.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Завершив осмотр одной стороны головы, выполняют такие же операции и на другой ее стороне в приведенной выше последовательности.</w:t>
      </w:r>
      <w:bookmarkStart w:id="41" w:name="l38"/>
      <w:bookmarkEnd w:id="41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Язык осматривают, предварительно очистив его поверхность от слизи, остатков крови и кормовых масс, а при необходимости вскрывают. Его захватывают рукой или вилкой, оттягивают вниз и поперечным разрезом у мягкого неба вскрывают гортанно-глоточную полость.</w:t>
      </w:r>
      <w:bookmarkStart w:id="42" w:name="l39"/>
      <w:bookmarkEnd w:id="42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Медиальные заглоточные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лимфоузлы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левый и правый, расположенные на внутренней поверхности ветвей подъязычной кости, осматривают снаружи и на разрезе. Латеральные заглоточные лимфатические узлы при необходимости осматривают снаружи и на поверхности разреза. Они (левый и правый) расположены вблизи яремных отростков затылочной кости и заднего края подчелюстных слюнных желез.</w:t>
      </w:r>
      <w:bookmarkStart w:id="43" w:name="l40"/>
      <w:bookmarkEnd w:id="43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8B7">
        <w:rPr>
          <w:rFonts w:eastAsia="Times New Roman" w:cs="Times New Roman"/>
          <w:color w:val="808080"/>
          <w:sz w:val="24"/>
          <w:szCs w:val="24"/>
          <w:lang w:eastAsia="ru-RU"/>
        </w:rPr>
        <w:t>3.1.2.2.</w:t>
      </w: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Подвешивание головы за перстневидный хрящ гортани и первые кольца трахеи</w:t>
      </w:r>
      <w:bookmarkStart w:id="44" w:name="l41"/>
      <w:bookmarkEnd w:id="44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этом способе подвешивания головы она расположена лбом вниз, затылочной частью - к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ветсанэксперту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(рис. 4 - не приводится). Голова подвижна на крюке.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Осмотр начинают с медиальных заглоточных лимфатических узлов, для чего, фиксируя голову вилкой, вскрывают заднюю стенку глотки (продольный разрез), после чего визуально контролируют состояние этих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лимфоузлов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 с поверхности, так и на разрезе.</w:t>
      </w:r>
      <w:bookmarkStart w:id="45" w:name="l42"/>
      <w:bookmarkEnd w:id="45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Далее справа, фиксируя голову за остаток плечеголовного мускула, вскрывают одним разрезом наружную головку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массетера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подчелюстной (нижнечелюстной)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лимфоузел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подчелюстную слюнную железу. Осматривают их состояние. Последующим разрезом вскрывают глубокий слой наружного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массетера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и, продлевая движение ножа до основания ушной раковины, околоушный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лимфоузел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околоушную слюнную железу. После чего одним разрезом вскрывают и осматривают правый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крыловой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мускул. Осмотр левой части головы выполняют в таком же порядке, как указано выше в настоящем пункте.</w:t>
      </w:r>
      <w:bookmarkStart w:id="46" w:name="l43"/>
      <w:bookmarkStart w:id="47" w:name="l44"/>
      <w:bookmarkEnd w:id="46"/>
      <w:bookmarkEnd w:id="47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осмотра языка его фиксируют за кончик, очищают поверхность тыльной стороной ножа, контролируют состояние слизистой оболочки. Отделив </w:t>
      </w:r>
      <w:proofErr w:type="gram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ножом</w:t>
      </w:r>
      <w:proofErr w:type="gram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членики подъязычной кости, осматривают корень языка, миндалины, глотку, подъязычные мышцы. Язык при необходимости разрезают.</w:t>
      </w:r>
      <w:bookmarkStart w:id="48" w:name="l45"/>
      <w:bookmarkStart w:id="49" w:name="l46"/>
      <w:bookmarkEnd w:id="48"/>
      <w:bookmarkEnd w:id="49"/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28B7">
        <w:rPr>
          <w:rFonts w:eastAsia="Times New Roman" w:cs="Times New Roman"/>
          <w:color w:val="808080"/>
          <w:sz w:val="24"/>
          <w:szCs w:val="24"/>
          <w:lang w:eastAsia="ru-RU"/>
        </w:rPr>
        <w:t>3.1.3.</w:t>
      </w: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Ветеринарно-санитарный осмотр головы на столе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Этот способ осмотра используют при отсутствии конвейерной линии.</w:t>
      </w:r>
    </w:p>
    <w:p w:rsidR="003428B7" w:rsidRPr="00D92023" w:rsidRDefault="003428B7" w:rsidP="003428B7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Подготовленную в соответствии с п. 3.1.1 голову кладут на стол лбом вниз. Осмотр выполняют в такой последовательности, как указано в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. 3.1.2.1 или 3.1.2.2. При этом</w:t>
      </w:r>
      <w:proofErr w:type="gram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удобства осмотра медиальных заглоточных </w:t>
      </w:r>
      <w:proofErr w:type="spellStart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лимфоузлов</w:t>
      </w:r>
      <w:proofErr w:type="spellEnd"/>
      <w:r w:rsidRPr="00D92023">
        <w:rPr>
          <w:rFonts w:eastAsia="Times New Roman" w:cs="Times New Roman"/>
          <w:color w:val="000000"/>
          <w:sz w:val="24"/>
          <w:szCs w:val="24"/>
          <w:lang w:eastAsia="ru-RU"/>
        </w:rPr>
        <w:t>, глотку с гортанью вилкой оттягивают вверх.</w:t>
      </w:r>
      <w:bookmarkStart w:id="50" w:name="l47"/>
      <w:bookmarkEnd w:id="50"/>
    </w:p>
    <w:p w:rsidR="00D13F70" w:rsidRPr="003428B7" w:rsidRDefault="00D13F70">
      <w:pPr>
        <w:rPr>
          <w:sz w:val="24"/>
          <w:szCs w:val="24"/>
        </w:rPr>
      </w:pPr>
    </w:p>
    <w:sectPr w:rsidR="00D13F70" w:rsidRPr="003428B7" w:rsidSect="00D1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04173"/>
    <w:multiLevelType w:val="hybridMultilevel"/>
    <w:tmpl w:val="E52EAB1E"/>
    <w:lvl w:ilvl="0" w:tplc="CAD879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428B7"/>
    <w:rsid w:val="00105201"/>
    <w:rsid w:val="003428B7"/>
    <w:rsid w:val="00D1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8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28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42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dorovaN195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USHT_PR</dc:creator>
  <cp:lastModifiedBy>USHT_PR</cp:lastModifiedBy>
  <cp:revision>1</cp:revision>
  <dcterms:created xsi:type="dcterms:W3CDTF">2021-10-26T08:43:00Z</dcterms:created>
  <dcterms:modified xsi:type="dcterms:W3CDTF">2021-10-26T08:55:00Z</dcterms:modified>
</cp:coreProperties>
</file>