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Неокантианство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Неокантианство как философское течение оформилось в Германии в конце XIX — начале XX в. Оно получило распространение в Австрии, Франции, России и других странах.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Большинство неокантианцев отрицают «вещь в себе» Канта и не допускают возможности выхода познания за пределы явлений сознания. Задачу философии они </w:t>
      </w: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видят</w:t>
      </w:r>
      <w:proofErr w:type="gram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прежде всего в разработке методологических и логических основ научного познания с позиций идеализма, гораздо более откровенного и последовательного, чем махизм.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По своей политической направленности неокантианство — пестрое течение, выражавшее интересы различных слоев буржуазии, от либеральных, прово</w:t>
      </w:r>
      <w:bookmarkStart w:id="0" w:name="_GoBack"/>
      <w:bookmarkEnd w:id="0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дивших политику уступок и реформ, до крайне правых. Но в целом оно заострено против марксизма и задача его — дать теоретическое опровержение марксистского учения.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Зарождение неокантианства относится к 60-м годам. В 1865 г. О.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Либман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в книге «Кант и эпигоны» защищал лозунг «назад к Канту», быстро ставший теоретическим знаменем всего течения. В том же году Ф. А.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Ланге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в книге «Рабочий вопрос» сформулировал «социальный заказ» новому течению: доказать, «что рабочий вопрос, а с ним вместе и вообще социальный, могут быть </w:t>
      </w: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разрешены</w:t>
      </w:r>
      <w:proofErr w:type="gram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без революций». В дальнейшем внутри неокантианства образовался ряд школ, из которых наиболее важными и влиятельными были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марбургская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и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баденская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(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Фрейбургская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) школы.</w:t>
      </w:r>
    </w:p>
    <w:p w:rsidR="00BE34FE" w:rsidRPr="00BE34FE" w:rsidRDefault="00BE34FE" w:rsidP="00BE34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BE34FE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Включить звук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proofErr w:type="spellStart"/>
      <w:r w:rsidRPr="00BE34FE">
        <w:rPr>
          <w:rFonts w:ascii="Georgia" w:eastAsia="Times New Roman" w:hAnsi="Georgia" w:cs="Times New Roman"/>
          <w:b/>
          <w:bCs/>
          <w:color w:val="4A4A4A"/>
          <w:sz w:val="27"/>
          <w:szCs w:val="27"/>
          <w:lang w:eastAsia="ru-RU"/>
        </w:rPr>
        <w:t>Марбургская</w:t>
      </w:r>
      <w:proofErr w:type="spellEnd"/>
      <w:r w:rsidRPr="00BE34FE">
        <w:rPr>
          <w:rFonts w:ascii="Georgia" w:eastAsia="Times New Roman" w:hAnsi="Georgia" w:cs="Times New Roman"/>
          <w:b/>
          <w:bCs/>
          <w:color w:val="4A4A4A"/>
          <w:sz w:val="27"/>
          <w:szCs w:val="27"/>
          <w:lang w:eastAsia="ru-RU"/>
        </w:rPr>
        <w:t xml:space="preserve"> школа.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 Основателем первой школы был </w:t>
      </w:r>
      <w:r w:rsidRPr="00BE34FE">
        <w:rPr>
          <w:rFonts w:ascii="Georgia" w:eastAsia="Times New Roman" w:hAnsi="Georgia" w:cs="Times New Roman"/>
          <w:i/>
          <w:iCs/>
          <w:color w:val="4A4A4A"/>
          <w:sz w:val="27"/>
          <w:szCs w:val="27"/>
          <w:lang w:eastAsia="ru-RU"/>
        </w:rPr>
        <w:t xml:space="preserve">Герман </w:t>
      </w:r>
      <w:proofErr w:type="spellStart"/>
      <w:r w:rsidRPr="00BE34FE">
        <w:rPr>
          <w:rFonts w:ascii="Georgia" w:eastAsia="Times New Roman" w:hAnsi="Georgia" w:cs="Times New Roman"/>
          <w:i/>
          <w:iCs/>
          <w:color w:val="4A4A4A"/>
          <w:sz w:val="27"/>
          <w:szCs w:val="27"/>
          <w:lang w:eastAsia="ru-RU"/>
        </w:rPr>
        <w:t>Коген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 (1842–1918). В эту же школу входили Пауль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Наторп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, Эрнст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Кассирер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, Карл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Форлендер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, Рудольф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Штаммлер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и др. Так же как и позитивисты, неокантианцы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марбургской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школы утверждают, что познание мира есть дело только конкретных, «позитивных» наук. Философию в смысле учения о мире они отвергают как «метафизику». Предметом философии они признают лишь процесс научного познания. Как писал неокантианец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Риль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, </w:t>
      </w:r>
      <w:r w:rsidRPr="00BE34FE">
        <w:rPr>
          <w:rFonts w:ascii="Georgia" w:eastAsia="Times New Roman" w:hAnsi="Georgia" w:cs="Times New Roman"/>
          <w:i/>
          <w:iCs/>
          <w:color w:val="4A4A4A"/>
          <w:sz w:val="27"/>
          <w:szCs w:val="27"/>
          <w:lang w:eastAsia="ru-RU"/>
        </w:rPr>
        <w:t>«философия в своем новом критическом значении есть наука о науке, о самом познании»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Неокантианцы отвергают основной философский вопрос как «досадное наследие средневековья». Все проблемы научного познания они пытаются решать вне отношения к объективной действительности, в пределах одной лишь «спонтанной» деятельности сознания. В. И. Ленин указывал, что в действительности неокантианцы «подчищают Канта под Юма», истолковывая учение Канта в духе более последовательного 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lastRenderedPageBreak/>
        <w:t>агностицизма и субъективного идеализма. Это выражается, во-первых, в отказе от материалистического элемента в учении Канта, от признания объективного существования «вещи в себе». Неокантианцы переносят «вещь в себе» внутрь сознания, превращают ее из внешнего по отношению к сознанию источника ощущений и представлений в «предельное понятие», полагающее идеальную границу логической деятельности мышления. Во-вторых, если Кант пытался решить проблему соотношения чувственной и рациональной ступеней познания, то неокантианцы отбрасывают ощущение как самостоятельный источник знания. Они сохраняют и абсолютизируют лишь учение Канта о логической деятельности мышления, объявляя ее единственным источником и содержанием познания. </w:t>
      </w:r>
      <w:r w:rsidRPr="00BE34FE">
        <w:rPr>
          <w:rFonts w:ascii="Georgia" w:eastAsia="Times New Roman" w:hAnsi="Georgia" w:cs="Times New Roman"/>
          <w:i/>
          <w:iCs/>
          <w:color w:val="4A4A4A"/>
          <w:sz w:val="27"/>
          <w:szCs w:val="27"/>
          <w:lang w:eastAsia="ru-RU"/>
        </w:rPr>
        <w:t>«Мы начинаем с мышления.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 У мышления не должно быть никакого источника, кроме самого себя».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Неокантианцы отрывают понятия от отражаемой ими действительности и изображают их как продукты спонтанно развивающейся деятельности мышления. Поэтому неокантианцы утверждают, что предмет познания не дан, а задан, что он не существует независимо от науки, а создается ею как некая логическая конструкция. Основная идея неокантианцев состоит в том, что познание есть логическое построение, или конструирование, предмета, осуществляемое по законам и правилам самого мышления. Мы можем познать только то, что сами же создаем в процессе мышления. С этой точки зрения истина — это не соответствие понятия (или суждения) предмету, а, напротив, соответствие предмета тем идеальным схемам, которые устанавливаются мышлением.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Гносеологические корни подобной концепции состоят в раздувании активной роли мышления, его способности вырабатывать логические категории, в абсолютизации формальной стороны научного познания, в сведении науки к ее логической форме.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Неокантианцы, по сути дела, отождествляют существование вещи с ее познанием, они подменяют природу научной картиной мира, объективную действительность — ее изображением в мысли. Отсюда вытекает субъективно-идеалистическое истолкование важнейших понятий естествознания, которые объявляются «свободным творением человеческого духа». Так, атом, по мнению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Кассирера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, «не обозначает твердого физического факта, а лишь </w:t>
      </w: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логическое требование</w:t>
      </w:r>
      <w:proofErr w:type="gram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», а понятие материи «сводится к идеальным концепциям, созданным и испытанным математикой».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Учитывая факт бесконечного развития познания и его приближения к абсолютной истине, неокантианцы в отличие от учения Канта о завершенной логической таблице категорий заявляют, что процесс создания мышлением своих категорий протекает непрерывно, что конструирование предмета познания — это бесконечная задача, которая 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lastRenderedPageBreak/>
        <w:t>всегда стоит перед нами, к решению которой мы всегда должны стремиться, но которая никогда не может быть окончательно решена.</w:t>
      </w:r>
      <w:proofErr w:type="gramEnd"/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Однако признание относительности и незавершенности познания при отрицании объективности предмета познания ведет к крайнему релятивизму. Наука, не имеющая объективного содержания и занятая лишь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реконструированием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категорий, по существу, превращается в фантасмагорию понятий, а ее действительный предмет, природа, как говорит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Наторп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, имеет «значение только гипотезы, выражаясь резко — фикции завершения».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Принцип долженствования кладется неокантианцами и в основу их социально-этического учения, направленного непосредственно против теории научного социализма. Существо неокантианской теории «этического социализма», подхваченной затем ревизионистами, состоит в выхолащивании революционного, материалистического содержания научного социализма и подмене его реформизмом и идеализмом. Идее уничтожения эксплуататорских классов неокантианцы противопоставляют реформистскую концепцию солидарности и сотрудничества классов; революционный принцип классовой борьбы как пути к завоеванию социализма они заменяют идеей нравственного обновления человечества как предварительного условия осуществления социализма. Неокантианцы утверждают, что социализм — это не объективный результат закономерного общественного развития, а этический идеал, долженствование, которым мы можем руководствоваться, сознавая, что полностью этот идеал принципиально не осуществим. Отсюда и вытекает пресловутый ревизионистский тезис Бернштейна: «Движение — все, а конечная цель — ничто».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proofErr w:type="spellStart"/>
      <w:r w:rsidRPr="00BE34FE">
        <w:rPr>
          <w:rFonts w:ascii="Georgia" w:eastAsia="Times New Roman" w:hAnsi="Georgia" w:cs="Times New Roman"/>
          <w:b/>
          <w:bCs/>
          <w:color w:val="4A4A4A"/>
          <w:sz w:val="27"/>
          <w:szCs w:val="27"/>
          <w:lang w:eastAsia="ru-RU"/>
        </w:rPr>
        <w:t>Баденская</w:t>
      </w:r>
      <w:proofErr w:type="spellEnd"/>
      <w:r w:rsidRPr="00BE34FE">
        <w:rPr>
          <w:rFonts w:ascii="Georgia" w:eastAsia="Times New Roman" w:hAnsi="Georgia" w:cs="Times New Roman"/>
          <w:b/>
          <w:bCs/>
          <w:color w:val="4A4A4A"/>
          <w:sz w:val="27"/>
          <w:szCs w:val="27"/>
          <w:lang w:eastAsia="ru-RU"/>
        </w:rPr>
        <w:t xml:space="preserve"> школа.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 В отличие от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марбургской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школы неокантианства представители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баденской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школы вели более прямую и открытую борьбу против научного социализма: буржуазное существо их учения выступает без псевдосоциалистических фраз.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Для представителей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баденской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школы </w:t>
      </w:r>
      <w:r w:rsidRPr="00BE34FE">
        <w:rPr>
          <w:rFonts w:ascii="Georgia" w:eastAsia="Times New Roman" w:hAnsi="Georgia" w:cs="Times New Roman"/>
          <w:i/>
          <w:iCs/>
          <w:color w:val="4A4A4A"/>
          <w:sz w:val="27"/>
          <w:szCs w:val="27"/>
          <w:lang w:eastAsia="ru-RU"/>
        </w:rPr>
        <w:t xml:space="preserve">Вильгельма </w:t>
      </w:r>
      <w:proofErr w:type="spellStart"/>
      <w:r w:rsidRPr="00BE34FE">
        <w:rPr>
          <w:rFonts w:ascii="Georgia" w:eastAsia="Times New Roman" w:hAnsi="Georgia" w:cs="Times New Roman"/>
          <w:i/>
          <w:iCs/>
          <w:color w:val="4A4A4A"/>
          <w:sz w:val="27"/>
          <w:szCs w:val="27"/>
          <w:lang w:eastAsia="ru-RU"/>
        </w:rPr>
        <w:t>Виндельбанда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 (1848–1915) и </w:t>
      </w:r>
      <w:r w:rsidRPr="00BE34FE">
        <w:rPr>
          <w:rFonts w:ascii="Georgia" w:eastAsia="Times New Roman" w:hAnsi="Georgia" w:cs="Times New Roman"/>
          <w:i/>
          <w:iCs/>
          <w:color w:val="4A4A4A"/>
          <w:sz w:val="27"/>
          <w:szCs w:val="27"/>
          <w:lang w:eastAsia="ru-RU"/>
        </w:rPr>
        <w:t xml:space="preserve">Генриха </w:t>
      </w:r>
      <w:proofErr w:type="spellStart"/>
      <w:r w:rsidRPr="00BE34FE">
        <w:rPr>
          <w:rFonts w:ascii="Georgia" w:eastAsia="Times New Roman" w:hAnsi="Georgia" w:cs="Times New Roman"/>
          <w:i/>
          <w:iCs/>
          <w:color w:val="4A4A4A"/>
          <w:sz w:val="27"/>
          <w:szCs w:val="27"/>
          <w:lang w:eastAsia="ru-RU"/>
        </w:rPr>
        <w:t>Риккерта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 (1863–1936) философия в значительной мере сводится к научной методологии, к анализу логической структуры знания.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Марбуржцы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пытались дать идеалистическую разработку логических основ естествознания;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центральная же проблема, выдвинутая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баденской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школой, — создание методологии исторической науки. Они приходят к выводу, что в истории не существует закономерности и что поэтому историческая наука должна ограничиваться лишь описанием индивидуальных событий, не претендуя на открытие законов. Для обоснования этой идеи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Виндельбанд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и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устанавливают принципиальное разграничение между «науками о природе» и «науками о культуре», основанное на 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lastRenderedPageBreak/>
        <w:t>формальной противоположности методов, применяемых, по их мнению, этими науками.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Как и все неокантианцы,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видит в науке лишь формальную систему понятий, создаваемых мышлением. Он не отрицает, что источник их образования — чувственно данная действительность, однако не считает ее объективной реальностью. «Бытие всякой действительности должно рассматриваться как бытие в сознании». Чтобы избежать солипсизма, неизбежно вытекающего из подобного взгляда,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заявляет, что сознание, заключающее в себе бытие, принадлежит не индивидуальному эмпирическому субъекту, а очищенному от всех психологических особенностей «сверхиндивидуальному гносеологическому субъекту». Поскольку, однако, этот гносеологический субъект на деле не более как абстракция эмпирического сознания, введение его не изменяет субъективно-идеалистического характера концепции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Риккерта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.</w:t>
      </w:r>
    </w:p>
    <w:p w:rsidR="00BE34FE" w:rsidRPr="00BE34FE" w:rsidRDefault="00BE34FE" w:rsidP="00BE34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11"/>
          <w:szCs w:val="11"/>
          <w:lang w:eastAsia="ru-RU"/>
        </w:rPr>
        <w:t>Перейти на сайт</w:t>
      </w:r>
    </w:p>
    <w:p w:rsidR="00BE34FE" w:rsidRPr="00BE34FE" w:rsidRDefault="00BE34FE" w:rsidP="00BE34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BE34FE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Включить звук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Абсолютизируя индивидуальные особенности, присущие каждому явлению, неокантианцы утверждают, что «всякая действительность есть индивидуальное наглядное представление». Из факта бесконечной многогранности и неисчерпаемости каждого индивидуального явления и всей действительности в целом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делает неправомерный вывод о том, что познание в понятиях не может быть отражением действительности, что оно лишь упрощение и преобразование материала представлений.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метафизически разрывает общее и отдельное, он утверждает, что «действительность для нас лежит в особенном и индивидуальном и ни в коем случае нельзя ее построить из общих элементов». Отсюда вытекает и агностицизм в оценке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Риккертом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естествознания.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b/>
          <w:bCs/>
          <w:color w:val="4A4A4A"/>
          <w:sz w:val="27"/>
          <w:szCs w:val="27"/>
          <w:lang w:eastAsia="ru-RU"/>
        </w:rPr>
        <w:t>Науки о природе и науки о культуре.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 Согласно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Риккерту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, естественные науки пользуются «генерализирующим» методом, состоящим в образовании общих понятий и в формулировке законов. Но в общих понятиях не содержится ничего индивидуального, а в индивидуальных явлениях действительности нет ничего общего. Поэтому законы науки не имеют никакого объективного значения. С точки зрения неокантианцев, естествознание не дает знания действительности, а уводит от нее, оно имеет дело не с действительным миром, а с миром абстракций, с созданными им же самим системами понятий. Мы можем «перейти от иррациональной действительности, — пишет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, — к рациональным понятиям, возврат же к качественно индивидуальной действительности нам навсегда закрыт». Таким образом, агностицизм и отрицание познавательного значения науки, 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lastRenderedPageBreak/>
        <w:t xml:space="preserve">тенденция к иррационализму в понимании окружающего мира — таковы результаты анализа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Риккертом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методологии естественных наук.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полагает, что в противоположность естествознанию исторические науки интересуются единичными событиями в их неповторимом своеобразии. «Кто вообще говорит об „истории“, тот думает всегда </w:t>
      </w: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об</w:t>
      </w:r>
      <w:proofErr w:type="gram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единичном индивидуальном течении вещей…»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утверждает, что науки о природе и науки о культуре различаются не по своему предмету, а лишь по методу. Естествознание, пользуясь «генерализирующим» методом, преобразует индивидуальные явления в систему естественнонаучных законов. История же, применяя «индивидуализирующий» метод, описывает отдельные исторические события. Так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подходит к центральному пункту учения неокантианцев — к отрицанию объективных законов общественной жизни. Повторяя реакционные утверждения Шопенгауэра,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, как и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Виндельбанд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, заявляет, что «понятие исторического развития и понятие закона взаимно исключают друг друга», что «понятие „исторического закона“ есть „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contradictio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in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adjecto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“».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Весь ход рассуждения этих неокантианцев порочен, а произвольное разделение наук в зависимости от применяемых науками методов не выдерживает критики. Прежде </w:t>
      </w: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всего</w:t>
      </w:r>
      <w:proofErr w:type="gram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неверно, что естествознание имеет дело только с общим, а история — с индивидуальным. Поскольку сама объективная действительность во всех ее проявлениях представляет собой единство общего и отдельного, познающая ее наука постигает общее в </w:t>
      </w: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отдельном</w:t>
      </w:r>
      <w:proofErr w:type="gram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и отдельное через общее. Не только целый ряд наук (геология, палеонтология, космогония Солнечной системы и т. д.) изучает конкретные явления и процессы, неповторимые в своем индивидуальном течении, но и любая отрасль естествознания, устанавливая общие законы, дает возможность с их помощью познавать и конкретные, индивидуальные явления и практически воздействовать на них.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В свою очередь история только тогда может считаться наукой (в отличие от летописи), когда она обнаруживает внутреннюю связь исторических событий, объективные закономерности, управляющие действиями целых классов. Отрицание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Риккертом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объективного характера законов истории, воспринятое многими буржуазными историками, направлено против учения марксизма о развитии общества как естественно-историческом процессе, необходимо ведущем к смене капиталистического строя </w:t>
      </w: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социалистическим</w:t>
      </w:r>
      <w:proofErr w:type="gram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По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Риккерту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, историческая наука не может формулировать законы исторического развития, она ограничивается описанием лишь индивидуальных событий. Историческое знание, достигаемое с помощью индивидуализирующего метода, не отражает природы исторических 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lastRenderedPageBreak/>
        <w:t xml:space="preserve">явлений, ибо индивидуальность, могущая быть постигнутой нами, также «не есть действительность, но лишь продукт нашего понимания действительности…». Агностицизм, столь ярко выраженный в трактовке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Риккертом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естественных наук, не в меньшей мере лежит и в основе понимания им исторической науки.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b/>
          <w:bCs/>
          <w:color w:val="4A4A4A"/>
          <w:sz w:val="27"/>
          <w:szCs w:val="27"/>
          <w:lang w:eastAsia="ru-RU"/>
        </w:rPr>
        <w:t>«Философия ценностей» как апология буржуазного общества.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 Согласно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Виндельбанду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и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Риккерту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, естествоиспытатель, создавая естественнонаучные понятия, может руководствоваться одним лишь формальным принципом обобщения. Историк же, занятый описанием единичных событий, должен иметь кроме формального принципа — индивидуализации — еще дополнительный принцип, дающий ему возможность выделять из бесконечного многообразия фактов то существенное, что может иметь значение исторического события. Таким принципом отбора неокантианцы объявляют отнесение событий к культурным ценностям. То явление, которое можно отнести к культурным ценностям, становится историческим событием. Неокантианцы различают ценности логические, этические, эстетические, религиозные. Но они не дают ясного ответа на вопрос, что такое ценности. Они говорят, что ценности вечны и неизменны и «образуют совершенно самостоятельное царство, лежащее по ту сторону субъекта и объекта».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Учение о ценностях представляет собой попытку избежать солипсизма, оставаясь на позициях субъективного идеализма. Ценность изображается неокантианцами как нечто независящее от субъекта, но независимость ее состоит не в том, что она существует вне индивидуального сознания, а лишь в том, что она обладает обязательной значимостью для всякого индивидуального сознания. Философия оказывается теперь не только логикой научного познания, но и учением о ценностях. По своему социальному значению философия ценностей — это изощренная апологетика капитализма. Согласно неокантианцам, культура, к которой они сводят всю общественную жизнь, предполагает совокупность объектов, или благ, в которых реализуются вечные ценности. Такими благами оказываются «блага» буржуазного общества, его культуры и прежде всего буржуазное государство. </w:t>
      </w: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Это, далее, хозяйство, или капиталистическая экономика, буржуазное право и искусство; наконец, это — церковь, воплощающая в себе «высшую ценность», ибо «бог есть абсолютная ценность, к которой все относится».</w:t>
      </w:r>
      <w:proofErr w:type="gram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Весьма симптоматично, что в годы фашистской диктатуры в Германии «философия ценностей» была использована </w:t>
      </w:r>
      <w:proofErr w:type="spell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Риккертом</w:t>
      </w:r>
      <w:proofErr w:type="spell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для оправдания фашизма, и в частности для «обоснования» расизма.</w:t>
      </w:r>
    </w:p>
    <w:p w:rsidR="00BE34FE" w:rsidRPr="00BE34FE" w:rsidRDefault="00BE34FE" w:rsidP="00BE34F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A4A4A"/>
          <w:sz w:val="24"/>
          <w:szCs w:val="24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11"/>
          <w:szCs w:val="11"/>
          <w:lang w:eastAsia="ru-RU"/>
        </w:rPr>
        <w:t>Узнать больше</w:t>
      </w:r>
    </w:p>
    <w:p w:rsidR="00BE34FE" w:rsidRPr="00BE34FE" w:rsidRDefault="00BE34FE" w:rsidP="00BE34FE">
      <w:pPr>
        <w:shd w:val="clear" w:color="auto" w:fill="FFFFFF"/>
        <w:spacing w:line="240" w:lineRule="auto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BE34FE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Включить звук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В конце XIX в неокантианство было наиболее влиятельным из всех идеалистических течений, пытавшихся либо прямо отвергать марксизм, </w:t>
      </w: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lastRenderedPageBreak/>
        <w:t>либо разлагать его изнутри. Поэтому уже Энгельсу пришлось начать борьбу против неокантианства. Но решающая заслуга разоблачения этого реакционного течения принадлежит Ленину. Борьба</w:t>
      </w:r>
      <w:proofErr w:type="gramStart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В</w:t>
      </w:r>
      <w:proofErr w:type="gramEnd"/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 xml:space="preserve"> И. Ленина, а также Г. В. Плеханова и других марксистов против неокантианства и неокантианской ревизии марксизма — важная страница истории марксистской философии.</w:t>
      </w:r>
    </w:p>
    <w:p w:rsidR="00BE34FE" w:rsidRPr="00BE34FE" w:rsidRDefault="00BE34FE" w:rsidP="00BE34FE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</w:pPr>
      <w:r w:rsidRPr="00BE34FE">
        <w:rPr>
          <w:rFonts w:ascii="Georgia" w:eastAsia="Times New Roman" w:hAnsi="Georgia" w:cs="Times New Roman"/>
          <w:color w:val="4A4A4A"/>
          <w:sz w:val="27"/>
          <w:szCs w:val="27"/>
          <w:lang w:eastAsia="ru-RU"/>
        </w:rPr>
        <w:t>Неокантианство, оказавшее большое влияние на развитие буржуазной философской и общественной мысли не только в Германии, но и за пределами ее, уже во втором десятилетии XX в. начало разлагаться и после первой мировой войны утратило самостоятельное значение.</w:t>
      </w:r>
    </w:p>
    <w:p w:rsidR="007D2662" w:rsidRDefault="007D2662"/>
    <w:sectPr w:rsidR="007D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E6"/>
    <w:rsid w:val="006A0EE6"/>
    <w:rsid w:val="007D2662"/>
    <w:rsid w:val="00BE34FE"/>
    <w:rsid w:val="00C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9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8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8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002280">
                                                      <w:marLeft w:val="90"/>
                                                      <w:marRight w:val="9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4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1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55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2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953489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9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9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60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3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470289">
                                                      <w:marLeft w:val="90"/>
                                                      <w:marRight w:val="9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8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63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10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94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74779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0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60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1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2515685">
                                                      <w:marLeft w:val="90"/>
                                                      <w:marRight w:val="9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1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4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26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38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8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622086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2021-10-28T09:08:00Z</dcterms:created>
  <dcterms:modified xsi:type="dcterms:W3CDTF">2021-10-28T09:08:00Z</dcterms:modified>
</cp:coreProperties>
</file>